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776E85" w:rsidP="00776E85" w14:paraId="7DEE1F8B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B6050">
        <w:rPr>
          <w:b/>
        </w:rPr>
        <w:t>52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776E85" w:rsidP="00776E85" w14:paraId="333D015F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776E85" w14:paraId="17F8E270" w14:textId="466A6650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198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DAF492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D6D5C">
        <w:rPr>
          <w:sz w:val="24"/>
          <w:szCs w:val="24"/>
        </w:rPr>
        <w:t>№</w:t>
      </w:r>
      <w:r w:rsidR="00776E85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FCD6C3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776E85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07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07F">
        <w:rPr>
          <w:color w:val="auto"/>
          <w:sz w:val="24"/>
          <w:szCs w:val="24"/>
        </w:rPr>
        <w:t>и</w:t>
      </w:r>
      <w:r w:rsidRPr="00191D4E" w:rsidR="00191D4E">
        <w:t xml:space="preserve"> </w:t>
      </w:r>
      <w:r w:rsidRPr="00191D4E" w:rsidR="00191D4E">
        <w:rPr>
          <w:color w:val="auto"/>
          <w:sz w:val="24"/>
          <w:szCs w:val="24"/>
        </w:rPr>
        <w:t>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53A78">
        <w:rPr>
          <w:color w:val="auto"/>
          <w:sz w:val="24"/>
          <w:szCs w:val="24"/>
        </w:rPr>
        <w:t>15</w:t>
      </w:r>
      <w:r w:rsidR="002B107F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1E367AE1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BD6D5C" w:rsidR="00BD6D5C">
        <w:rPr>
          <w:bCs/>
          <w:color w:val="000000"/>
        </w:rPr>
        <w:t>0412365400765014172520168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6BC5C6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1D4E"/>
    <w:rsid w:val="001931D0"/>
    <w:rsid w:val="001A24DB"/>
    <w:rsid w:val="001E6AFB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76E85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B605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